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01" w:rsidRDefault="00467901"/>
    <w:p w:rsidR="002F7066" w:rsidRDefault="002F7066"/>
    <w:p w:rsidR="002F7066" w:rsidRDefault="002F7066" w:rsidP="002F7066">
      <w:pPr>
        <w:pStyle w:val="NormalWeb"/>
        <w:rPr>
          <w:rFonts w:cs="Open Sans"/>
          <w:color w:val="4E4E4E"/>
        </w:rPr>
      </w:pPr>
      <w:r>
        <w:rPr>
          <w:rStyle w:val="Textoennegrita"/>
          <w:rFonts w:cs="Open Sans"/>
          <w:color w:val="4E4E4E"/>
        </w:rPr>
        <w:t>Ordenanza reguladora de la tasa por ocupación</w:t>
      </w:r>
      <w:r>
        <w:rPr>
          <w:rFonts w:cs="Open Sans"/>
          <w:b/>
          <w:bCs/>
          <w:color w:val="4E4E4E"/>
        </w:rPr>
        <w:t xml:space="preserve"> </w:t>
      </w:r>
      <w:r>
        <w:rPr>
          <w:rStyle w:val="Textoennegrita"/>
          <w:rFonts w:cs="Open Sans"/>
          <w:color w:val="4E4E4E"/>
        </w:rPr>
        <w:t>del dominio público con mesas, sillas, veladores</w:t>
      </w:r>
      <w:r>
        <w:rPr>
          <w:rFonts w:cs="Open Sans"/>
          <w:b/>
          <w:bCs/>
          <w:color w:val="4E4E4E"/>
        </w:rPr>
        <w:t xml:space="preserve"> </w:t>
      </w:r>
      <w:r>
        <w:rPr>
          <w:rStyle w:val="Textoennegrita"/>
          <w:rFonts w:cs="Open Sans"/>
          <w:color w:val="4E4E4E"/>
        </w:rPr>
        <w:t xml:space="preserve">y elementos análogos </w:t>
      </w:r>
    </w:p>
    <w:p w:rsidR="002F7066" w:rsidRDefault="002F7066" w:rsidP="002F7066">
      <w:pPr>
        <w:pStyle w:val="NormalWeb"/>
        <w:rPr>
          <w:rFonts w:cs="Open Sans"/>
          <w:color w:val="4E4E4E"/>
        </w:rPr>
      </w:pPr>
      <w:r>
        <w:rPr>
          <w:rFonts w:cs="Open Sans"/>
          <w:color w:val="4E4E4E"/>
        </w:rPr>
        <w:t>Artículo 1</w:t>
      </w:r>
      <w:proofErr w:type="gramStart"/>
      <w:r>
        <w:rPr>
          <w:rFonts w:cs="Open Sans"/>
          <w:color w:val="4E4E4E"/>
        </w:rPr>
        <w:t>.º</w:t>
      </w:r>
      <w:proofErr w:type="gramEnd"/>
      <w:r>
        <w:rPr>
          <w:rFonts w:cs="Open Sans"/>
          <w:color w:val="4E4E4E"/>
        </w:rPr>
        <w:t xml:space="preserve"> </w:t>
      </w:r>
      <w:r>
        <w:rPr>
          <w:rStyle w:val="nfasis"/>
          <w:rFonts w:cs="Open Sans"/>
          <w:color w:val="4E4E4E"/>
        </w:rPr>
        <w:t>Fundamento y naturaleza.</w:t>
      </w:r>
    </w:p>
    <w:p w:rsidR="002F7066" w:rsidRDefault="002F7066" w:rsidP="002F7066">
      <w:pPr>
        <w:pStyle w:val="NormalWeb"/>
        <w:rPr>
          <w:rFonts w:cs="Open Sans"/>
          <w:color w:val="4E4E4E"/>
        </w:rPr>
      </w:pPr>
      <w:r>
        <w:rPr>
          <w:rFonts w:cs="Open Sans"/>
          <w:color w:val="4E4E4E"/>
        </w:rPr>
        <w:t>En uso de las facultades concedidas por los artículos 133.2 y 142 de la Constitución Española, y el artículo 106 de la Ley 7/1985, de 2 de abril, Reguladora de las Bases del Régimen Local, y de conformidad con los artículos 15 a 27 y 57 del Real Decreto legislativo 2/2004, de 5 de marzo, por el que se aprueba el texto refundido de la Ley Reguladora de las Haciendas Locales, este Ayuntamiento establece la tasa por ocupación de terrenos de uso público local con mesas, sillas, tribunas, tablados y otros elementos análogos, con finalidad lucrativa, que estará a lo establecido en la presente Ordenanza fiscal.</w:t>
      </w:r>
    </w:p>
    <w:p w:rsidR="002F7066" w:rsidRDefault="002F7066" w:rsidP="002F7066">
      <w:pPr>
        <w:pStyle w:val="NormalWeb"/>
        <w:rPr>
          <w:rFonts w:cs="Open Sans"/>
          <w:color w:val="4E4E4E"/>
        </w:rPr>
      </w:pPr>
      <w:r>
        <w:rPr>
          <w:rFonts w:cs="Open Sans"/>
          <w:color w:val="4E4E4E"/>
        </w:rPr>
        <w:t>Art. 2</w:t>
      </w:r>
      <w:proofErr w:type="gramStart"/>
      <w:r>
        <w:rPr>
          <w:rFonts w:cs="Open Sans"/>
          <w:color w:val="4E4E4E"/>
        </w:rPr>
        <w:t>.º</w:t>
      </w:r>
      <w:proofErr w:type="gramEnd"/>
      <w:r>
        <w:rPr>
          <w:rFonts w:cs="Open Sans"/>
          <w:color w:val="4E4E4E"/>
        </w:rPr>
        <w:t xml:space="preserve"> </w:t>
      </w:r>
      <w:r>
        <w:rPr>
          <w:rStyle w:val="nfasis"/>
          <w:rFonts w:cs="Open Sans"/>
          <w:color w:val="4E4E4E"/>
        </w:rPr>
        <w:t>Ámbito de aplicación.</w:t>
      </w:r>
    </w:p>
    <w:p w:rsidR="002F7066" w:rsidRDefault="002F7066" w:rsidP="002F7066">
      <w:pPr>
        <w:pStyle w:val="NormalWeb"/>
        <w:rPr>
          <w:rFonts w:cs="Open Sans"/>
          <w:color w:val="4E4E4E"/>
        </w:rPr>
      </w:pPr>
      <w:r>
        <w:rPr>
          <w:rFonts w:cs="Open Sans"/>
          <w:color w:val="4E4E4E"/>
        </w:rPr>
        <w:t xml:space="preserve">La presente Ordenanza será de aplicación en todo el término municipal de </w:t>
      </w:r>
      <w:proofErr w:type="spellStart"/>
      <w:r>
        <w:rPr>
          <w:rFonts w:cs="Open Sans"/>
          <w:color w:val="4E4E4E"/>
        </w:rPr>
        <w:t>Ricla</w:t>
      </w:r>
      <w:proofErr w:type="spellEnd"/>
      <w:r>
        <w:rPr>
          <w:rFonts w:cs="Open Sans"/>
          <w:color w:val="4E4E4E"/>
        </w:rPr>
        <w:t>.</w:t>
      </w:r>
    </w:p>
    <w:p w:rsidR="002F7066" w:rsidRDefault="002F7066" w:rsidP="002F7066">
      <w:pPr>
        <w:pStyle w:val="NormalWeb"/>
        <w:rPr>
          <w:rFonts w:cs="Open Sans"/>
          <w:color w:val="4E4E4E"/>
        </w:rPr>
      </w:pPr>
      <w:r>
        <w:rPr>
          <w:rFonts w:cs="Open Sans"/>
          <w:color w:val="4E4E4E"/>
        </w:rPr>
        <w:t>Art. 3</w:t>
      </w:r>
      <w:proofErr w:type="gramStart"/>
      <w:r>
        <w:rPr>
          <w:rFonts w:cs="Open Sans"/>
          <w:color w:val="4E4E4E"/>
        </w:rPr>
        <w:t>.º</w:t>
      </w:r>
      <w:proofErr w:type="gramEnd"/>
      <w:r>
        <w:rPr>
          <w:rFonts w:cs="Open Sans"/>
          <w:color w:val="4E4E4E"/>
        </w:rPr>
        <w:t xml:space="preserve"> </w:t>
      </w:r>
      <w:r>
        <w:rPr>
          <w:rStyle w:val="nfasis"/>
          <w:rFonts w:cs="Open Sans"/>
          <w:color w:val="4E4E4E"/>
        </w:rPr>
        <w:t>Hecho imponible.</w:t>
      </w:r>
    </w:p>
    <w:p w:rsidR="002F7066" w:rsidRDefault="002F7066" w:rsidP="002F7066">
      <w:pPr>
        <w:pStyle w:val="NormalWeb"/>
        <w:rPr>
          <w:rFonts w:cs="Open Sans"/>
          <w:color w:val="4E4E4E"/>
        </w:rPr>
      </w:pPr>
      <w:r>
        <w:rPr>
          <w:rFonts w:cs="Open Sans"/>
          <w:color w:val="4E4E4E"/>
        </w:rPr>
        <w:t>Constituye el hecho imponible de la presente tasa la ocupación de terrenos de uso público local con mesas, sillas, tribunas, tablados y otros elementos análogos, con finalidad lucrativa.</w:t>
      </w:r>
    </w:p>
    <w:p w:rsidR="002F7066" w:rsidRDefault="002F7066" w:rsidP="002F7066">
      <w:pPr>
        <w:pStyle w:val="NormalWeb"/>
        <w:rPr>
          <w:rFonts w:cs="Open Sans"/>
          <w:color w:val="4E4E4E"/>
        </w:rPr>
      </w:pPr>
      <w:r>
        <w:rPr>
          <w:rFonts w:cs="Open Sans"/>
          <w:color w:val="4E4E4E"/>
        </w:rPr>
        <w:t>Art. 4</w:t>
      </w:r>
      <w:proofErr w:type="gramStart"/>
      <w:r>
        <w:rPr>
          <w:rFonts w:cs="Open Sans"/>
          <w:color w:val="4E4E4E"/>
        </w:rPr>
        <w:t>.º</w:t>
      </w:r>
      <w:proofErr w:type="gramEnd"/>
      <w:r>
        <w:rPr>
          <w:rFonts w:cs="Open Sans"/>
          <w:color w:val="4E4E4E"/>
        </w:rPr>
        <w:t xml:space="preserve"> </w:t>
      </w:r>
      <w:r>
        <w:rPr>
          <w:rStyle w:val="nfasis"/>
          <w:rFonts w:cs="Open Sans"/>
          <w:color w:val="4E4E4E"/>
        </w:rPr>
        <w:t>Sujeto pasivo.</w:t>
      </w:r>
    </w:p>
    <w:p w:rsidR="002F7066" w:rsidRDefault="002F7066" w:rsidP="002F7066">
      <w:pPr>
        <w:pStyle w:val="NormalWeb"/>
        <w:rPr>
          <w:rFonts w:cs="Open Sans"/>
          <w:color w:val="4E4E4E"/>
        </w:rPr>
      </w:pPr>
      <w:r>
        <w:rPr>
          <w:rFonts w:cs="Open Sans"/>
          <w:color w:val="4E4E4E"/>
        </w:rPr>
        <w:t>Son sujetos pasivos de la presente tasa, en calidad de contribuyentes, las personas físicas y jurídicas, así como las entidades a que se refiere el artículo 35.4 de la Ley 58/2003, de 17 de diciembre, General Tributaria, siguientes:</w:t>
      </w:r>
    </w:p>
    <w:p w:rsidR="002F7066" w:rsidRDefault="002F7066" w:rsidP="002F7066">
      <w:pPr>
        <w:pStyle w:val="NormalWeb"/>
        <w:rPr>
          <w:rFonts w:cs="Open Sans"/>
          <w:color w:val="4E4E4E"/>
        </w:rPr>
      </w:pPr>
      <w:r>
        <w:rPr>
          <w:rFonts w:cs="Open Sans"/>
          <w:color w:val="4E4E4E"/>
        </w:rPr>
        <w:t>—Los titulares de licencias o concesiones municipales y aquellos en cuyo beneficio redunde el aprovechamiento o utilización privativa del dominio público local.</w:t>
      </w:r>
    </w:p>
    <w:p w:rsidR="002F7066" w:rsidRDefault="002F7066" w:rsidP="002F7066">
      <w:pPr>
        <w:pStyle w:val="NormalWeb"/>
        <w:rPr>
          <w:rFonts w:cs="Open Sans"/>
          <w:color w:val="4E4E4E"/>
        </w:rPr>
      </w:pPr>
      <w:r>
        <w:rPr>
          <w:rFonts w:cs="Open Sans"/>
          <w:color w:val="4E4E4E"/>
        </w:rPr>
        <w:t>—Los que, sin licencia o concesión, realicen alguno de los aprovechamientos incluidos en esta Ordenanza.</w:t>
      </w:r>
    </w:p>
    <w:p w:rsidR="002F7066" w:rsidRDefault="002F7066" w:rsidP="002F7066">
      <w:pPr>
        <w:pStyle w:val="NormalWeb"/>
        <w:rPr>
          <w:rFonts w:cs="Open Sans"/>
          <w:color w:val="4E4E4E"/>
        </w:rPr>
      </w:pPr>
      <w:r>
        <w:rPr>
          <w:rFonts w:cs="Open Sans"/>
          <w:color w:val="4E4E4E"/>
        </w:rPr>
        <w:t>—Los que, habiendo cesado en el aprovechamiento, no presenten a la Entidad local la baja correspondiente.</w:t>
      </w:r>
    </w:p>
    <w:p w:rsidR="002F7066" w:rsidRDefault="002F7066" w:rsidP="002F7066">
      <w:pPr>
        <w:pStyle w:val="NormalWeb"/>
        <w:rPr>
          <w:rFonts w:cs="Open Sans"/>
          <w:color w:val="4E4E4E"/>
        </w:rPr>
      </w:pPr>
      <w:r>
        <w:rPr>
          <w:rFonts w:cs="Open Sans"/>
          <w:color w:val="4E4E4E"/>
        </w:rPr>
        <w:t>Art. 5</w:t>
      </w:r>
      <w:proofErr w:type="gramStart"/>
      <w:r>
        <w:rPr>
          <w:rFonts w:cs="Open Sans"/>
          <w:color w:val="4E4E4E"/>
        </w:rPr>
        <w:t>.º</w:t>
      </w:r>
      <w:proofErr w:type="gramEnd"/>
      <w:r>
        <w:rPr>
          <w:rFonts w:cs="Open Sans"/>
          <w:color w:val="4E4E4E"/>
        </w:rPr>
        <w:t xml:space="preserve"> </w:t>
      </w:r>
      <w:r>
        <w:rPr>
          <w:rStyle w:val="nfasis"/>
          <w:rFonts w:cs="Open Sans"/>
          <w:color w:val="4E4E4E"/>
        </w:rPr>
        <w:t>Responsables.</w:t>
      </w:r>
    </w:p>
    <w:p w:rsidR="002F7066" w:rsidRDefault="002F7066" w:rsidP="002F7066">
      <w:pPr>
        <w:pStyle w:val="NormalWeb"/>
        <w:rPr>
          <w:rFonts w:cs="Open Sans"/>
          <w:color w:val="4E4E4E"/>
        </w:rPr>
      </w:pPr>
      <w:r>
        <w:rPr>
          <w:rFonts w:cs="Open Sans"/>
          <w:color w:val="4E4E4E"/>
        </w:rPr>
        <w:t>Responderán de la deuda tributaria los deudores principales junto a otras personas o Entidades. A estos efectos se considerarán deudores principales los obligados tributarios del apartado 2 del artículo 35 de la Ley 58/2003, de 17 de diciembre, General Tributaria.</w:t>
      </w:r>
    </w:p>
    <w:p w:rsidR="002F7066" w:rsidRDefault="002F7066" w:rsidP="002F7066">
      <w:pPr>
        <w:pStyle w:val="NormalWeb"/>
        <w:rPr>
          <w:rFonts w:cs="Open Sans"/>
          <w:color w:val="4E4E4E"/>
        </w:rPr>
      </w:pPr>
      <w:r>
        <w:rPr>
          <w:rFonts w:cs="Open Sans"/>
          <w:color w:val="4E4E4E"/>
        </w:rPr>
        <w:t>Salvo precepto legal expreso en contrario, la responsabilidad será siempre subsidiaria.</w:t>
      </w:r>
    </w:p>
    <w:p w:rsidR="002F7066" w:rsidRDefault="002F7066" w:rsidP="002F7066">
      <w:pPr>
        <w:pStyle w:val="NormalWeb"/>
        <w:rPr>
          <w:rFonts w:cs="Open Sans"/>
          <w:color w:val="4E4E4E"/>
        </w:rPr>
      </w:pPr>
      <w:r>
        <w:rPr>
          <w:rFonts w:cs="Open Sans"/>
          <w:color w:val="4E4E4E"/>
        </w:rPr>
        <w:t>Con relación a la responsabilidad solidaria y subsidiaria de la deuda tributaria, se estará a lo establecido en los artículos 42 y 43, respectivamente, de la Ley 58/2003, de 17 de diciembre, General Tributaria.</w:t>
      </w:r>
    </w:p>
    <w:p w:rsidR="002F7066" w:rsidRDefault="002F7066" w:rsidP="002F7066">
      <w:pPr>
        <w:pStyle w:val="NormalWeb"/>
        <w:rPr>
          <w:rFonts w:cs="Open Sans"/>
          <w:color w:val="4E4E4E"/>
        </w:rPr>
      </w:pPr>
      <w:r>
        <w:rPr>
          <w:rFonts w:cs="Open Sans"/>
          <w:color w:val="4E4E4E"/>
        </w:rPr>
        <w:t>Art. 6</w:t>
      </w:r>
      <w:proofErr w:type="gramStart"/>
      <w:r>
        <w:rPr>
          <w:rFonts w:cs="Open Sans"/>
          <w:color w:val="4E4E4E"/>
        </w:rPr>
        <w:t>.º</w:t>
      </w:r>
      <w:proofErr w:type="gramEnd"/>
      <w:r>
        <w:rPr>
          <w:rFonts w:cs="Open Sans"/>
          <w:color w:val="4E4E4E"/>
        </w:rPr>
        <w:t xml:space="preserve"> </w:t>
      </w:r>
      <w:r>
        <w:rPr>
          <w:rStyle w:val="nfasis"/>
          <w:rFonts w:cs="Open Sans"/>
          <w:color w:val="4E4E4E"/>
        </w:rPr>
        <w:t>Exenciones y bonificaciones.</w:t>
      </w:r>
    </w:p>
    <w:p w:rsidR="002F7066" w:rsidRDefault="002F7066" w:rsidP="002F7066">
      <w:pPr>
        <w:pStyle w:val="NormalWeb"/>
        <w:rPr>
          <w:rFonts w:cs="Open Sans"/>
          <w:color w:val="4E4E4E"/>
        </w:rPr>
      </w:pPr>
      <w:r>
        <w:rPr>
          <w:rFonts w:cs="Open Sans"/>
          <w:color w:val="4E4E4E"/>
        </w:rPr>
        <w:t>Se concederán las siguientes exenciones o bonificaciones en relación con la presente tasa:</w:t>
      </w:r>
    </w:p>
    <w:p w:rsidR="002F7066" w:rsidRDefault="002F7066" w:rsidP="002F7066">
      <w:pPr>
        <w:pStyle w:val="NormalWeb"/>
        <w:rPr>
          <w:rFonts w:cs="Open Sans"/>
          <w:color w:val="4E4E4E"/>
        </w:rPr>
      </w:pPr>
      <w:r>
        <w:rPr>
          <w:rFonts w:cs="Open Sans"/>
          <w:color w:val="4E4E4E"/>
        </w:rPr>
        <w:t>(No procede)</w:t>
      </w:r>
    </w:p>
    <w:p w:rsidR="002F7066" w:rsidRDefault="002F7066" w:rsidP="002F7066">
      <w:pPr>
        <w:pStyle w:val="NormalWeb"/>
        <w:rPr>
          <w:rFonts w:cs="Open Sans"/>
          <w:color w:val="4E4E4E"/>
        </w:rPr>
      </w:pPr>
      <w:r>
        <w:rPr>
          <w:rFonts w:cs="Open Sans"/>
          <w:color w:val="4E4E4E"/>
        </w:rPr>
        <w:t>Art. 7</w:t>
      </w:r>
      <w:proofErr w:type="gramStart"/>
      <w:r>
        <w:rPr>
          <w:rFonts w:cs="Open Sans"/>
          <w:color w:val="4E4E4E"/>
        </w:rPr>
        <w:t>.º</w:t>
      </w:r>
      <w:proofErr w:type="gramEnd"/>
      <w:r>
        <w:rPr>
          <w:rFonts w:cs="Open Sans"/>
          <w:color w:val="4E4E4E"/>
        </w:rPr>
        <w:t xml:space="preserve"> </w:t>
      </w:r>
      <w:r>
        <w:rPr>
          <w:rStyle w:val="nfasis"/>
          <w:rFonts w:cs="Open Sans"/>
          <w:color w:val="4E4E4E"/>
        </w:rPr>
        <w:t>Cuota tributaria.</w:t>
      </w:r>
    </w:p>
    <w:p w:rsidR="002F7066" w:rsidRDefault="002F7066" w:rsidP="002F7066">
      <w:pPr>
        <w:pStyle w:val="NormalWeb"/>
        <w:rPr>
          <w:rFonts w:cs="Open Sans"/>
          <w:color w:val="4E4E4E"/>
        </w:rPr>
      </w:pPr>
      <w:r>
        <w:rPr>
          <w:rFonts w:cs="Open Sans"/>
          <w:color w:val="4E4E4E"/>
        </w:rPr>
        <w:t>La cuota tributaria consistirá en una cantidad fija señalada de acuerdo con la tarifa contenida en el apartado siguiente, atendiendo a la actividad objeto del aprovechamiento: superficie en metros cuadrados y período de aprovechamiento.</w:t>
      </w:r>
    </w:p>
    <w:p w:rsidR="002F7066" w:rsidRDefault="002F7066" w:rsidP="002F7066">
      <w:pPr>
        <w:pStyle w:val="NormalWeb"/>
        <w:rPr>
          <w:rFonts w:cs="Open Sans"/>
          <w:color w:val="4E4E4E"/>
        </w:rPr>
      </w:pPr>
      <w:r>
        <w:rPr>
          <w:rFonts w:cs="Open Sans"/>
          <w:color w:val="4E4E4E"/>
        </w:rPr>
        <w:t>Las tarifas, para los supuestos contemplados en el artículo 20.3 l) del Real Decreto legislativo 2/2004, de 5 de marzo, por el que se aprueba el texto refundido de la Ley Reguladora de las Haciendas Locales, quedan establecidas de la manera siguiente:</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 </w:t>
      </w:r>
      <w:r w:rsidRPr="002F7066">
        <w:rPr>
          <w:rFonts w:ascii="inherit" w:eastAsia="Times New Roman" w:hAnsi="inherit" w:cs="Times New Roman"/>
          <w:i/>
          <w:iCs/>
          <w:color w:val="333333"/>
          <w:sz w:val="24"/>
          <w:szCs w:val="24"/>
          <w:lang w:eastAsia="es-ES"/>
        </w:rPr>
        <w:t>Terrazas:</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Trimestral: 5 euros/metro cuadrado.</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Semestral: 7 euros/metro cuadrado.</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Anual: 10 euros/metro cuadrado.</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 </w:t>
      </w:r>
      <w:r w:rsidRPr="002F7066">
        <w:rPr>
          <w:rFonts w:ascii="inherit" w:eastAsia="Times New Roman" w:hAnsi="inherit" w:cs="Times New Roman"/>
          <w:i/>
          <w:iCs/>
          <w:color w:val="333333"/>
          <w:sz w:val="24"/>
          <w:szCs w:val="24"/>
          <w:lang w:eastAsia="es-ES"/>
        </w:rPr>
        <w:t>Veladores:</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Trimestral: 10 euros/metro cuadrado.</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Semestral: 12 euros/metro cuadrado.</w:t>
      </w:r>
    </w:p>
    <w:p w:rsidR="002F7066" w:rsidRPr="002F7066" w:rsidRDefault="002F7066" w:rsidP="002F7066">
      <w:pPr>
        <w:spacing w:before="100" w:beforeAutospacing="1" w:after="100" w:afterAutospacing="1"/>
        <w:ind w:right="0"/>
        <w:jc w:val="left"/>
        <w:rPr>
          <w:rFonts w:ascii="inherit" w:eastAsia="Times New Roman" w:hAnsi="inherit" w:cs="Times New Roman"/>
          <w:color w:val="333333"/>
          <w:sz w:val="24"/>
          <w:szCs w:val="24"/>
          <w:lang w:eastAsia="es-ES"/>
        </w:rPr>
      </w:pPr>
      <w:r w:rsidRPr="002F7066">
        <w:rPr>
          <w:rFonts w:ascii="inherit" w:eastAsia="Times New Roman" w:hAnsi="inherit" w:cs="Times New Roman"/>
          <w:color w:val="333333"/>
          <w:sz w:val="24"/>
          <w:szCs w:val="24"/>
          <w:lang w:eastAsia="es-ES"/>
        </w:rPr>
        <w:t>Anual: 20 euros/metro cuadrado.</w:t>
      </w:r>
    </w:p>
    <w:p w:rsidR="002F7066" w:rsidRDefault="002F7066" w:rsidP="002F7066">
      <w:pPr>
        <w:pStyle w:val="NormalWeb"/>
        <w:rPr>
          <w:rFonts w:cs="Open Sans"/>
          <w:color w:val="4E4E4E"/>
        </w:rPr>
      </w:pPr>
      <w:r>
        <w:rPr>
          <w:rFonts w:cs="Open Sans"/>
          <w:color w:val="4E4E4E"/>
        </w:rPr>
        <w:t>Art. 8</w:t>
      </w:r>
      <w:proofErr w:type="gramStart"/>
      <w:r>
        <w:rPr>
          <w:rFonts w:cs="Open Sans"/>
          <w:color w:val="4E4E4E"/>
        </w:rPr>
        <w:t>.º</w:t>
      </w:r>
      <w:proofErr w:type="gramEnd"/>
      <w:r>
        <w:rPr>
          <w:rFonts w:cs="Open Sans"/>
          <w:color w:val="4E4E4E"/>
        </w:rPr>
        <w:t xml:space="preserve"> </w:t>
      </w:r>
      <w:r>
        <w:rPr>
          <w:rStyle w:val="nfasis"/>
          <w:rFonts w:cs="Open Sans"/>
          <w:color w:val="4E4E4E"/>
        </w:rPr>
        <w:t>Devengo y nacimiento de la obligación.</w:t>
      </w:r>
    </w:p>
    <w:p w:rsidR="002F7066" w:rsidRDefault="002F7066" w:rsidP="002F7066">
      <w:pPr>
        <w:pStyle w:val="NormalWeb"/>
        <w:rPr>
          <w:rFonts w:cs="Open Sans"/>
          <w:color w:val="4E4E4E"/>
        </w:rPr>
      </w:pPr>
      <w:r>
        <w:rPr>
          <w:rFonts w:cs="Open Sans"/>
          <w:color w:val="4E4E4E"/>
        </w:rPr>
        <w:t>La tasa se devengará cuando se inicie la utilización privativa o el aprovechamiento especial, se halle o no autorizada, todo ello sin perjuicio de la posibilidad de exigir el depósito previo de su importe total o parcial, de conformidad con el artículo 26.1 y 2 del Real Decreto legislativo 2/2004, de 5 de marzo, por el que se aprueba el texto refundido de la Ley Reguladora de las Haciendas Locales.</w:t>
      </w:r>
    </w:p>
    <w:p w:rsidR="002F7066" w:rsidRDefault="002F7066" w:rsidP="002F7066">
      <w:pPr>
        <w:pStyle w:val="NormalWeb"/>
        <w:rPr>
          <w:rFonts w:cs="Open Sans"/>
          <w:color w:val="4E4E4E"/>
        </w:rPr>
      </w:pPr>
      <w:r>
        <w:rPr>
          <w:rFonts w:cs="Open Sans"/>
          <w:color w:val="4E4E4E"/>
        </w:rPr>
        <w:t>Procederá la devolución de las tasas que se hubieran exigido, cuando no se realice su hecho imponible por causas no imputables al sujeto pasivo, a tenor del artículo 12 de la Ley 8/1989, de 13 de abril, de Tasas y Precios Públicos.</w:t>
      </w:r>
    </w:p>
    <w:p w:rsidR="002F7066" w:rsidRDefault="002F7066" w:rsidP="002F7066">
      <w:pPr>
        <w:pStyle w:val="NormalWeb"/>
        <w:rPr>
          <w:rFonts w:cs="Open Sans"/>
          <w:color w:val="4E4E4E"/>
        </w:rPr>
      </w:pPr>
      <w:r>
        <w:rPr>
          <w:rFonts w:cs="Open Sans"/>
          <w:color w:val="4E4E4E"/>
        </w:rPr>
        <w:t>A tenor del artículo 24.5 del Real Decreto legislativo 2/2004, de 5 de marzo, por el que se aprueba el texto refundido de la Ley Reguladora de las Haciendas Locales, cuando la utilización privativa o el aprovechamiento especial lleve aparejada la destrucción o deterioro del dominio público local, el beneficiario, sin perjuicio del pago de la tasa a que hubiere lugar, estará obligado al reintegro del coste total de los respectivos gasto de reconstrucción o reparación y al depósito previo de su importe.</w:t>
      </w:r>
    </w:p>
    <w:p w:rsidR="002F7066" w:rsidRDefault="002F7066" w:rsidP="002F7066">
      <w:pPr>
        <w:pStyle w:val="NormalWeb"/>
        <w:rPr>
          <w:rFonts w:cs="Open Sans"/>
          <w:color w:val="4E4E4E"/>
        </w:rPr>
      </w:pPr>
      <w:r>
        <w:rPr>
          <w:rFonts w:cs="Open Sans"/>
          <w:color w:val="4E4E4E"/>
        </w:rPr>
        <w:t>Si los daños fueran irreparables, la entidad será indemnizada en cuantía igual al valor de los bienes destruidos o al importe del deterioro de los dañados.</w:t>
      </w:r>
    </w:p>
    <w:p w:rsidR="002F7066" w:rsidRDefault="002F7066" w:rsidP="002F7066">
      <w:pPr>
        <w:pStyle w:val="NormalWeb"/>
        <w:rPr>
          <w:rFonts w:cs="Open Sans"/>
          <w:color w:val="4E4E4E"/>
        </w:rPr>
      </w:pPr>
      <w:r>
        <w:rPr>
          <w:rFonts w:cs="Open Sans"/>
          <w:color w:val="4E4E4E"/>
        </w:rPr>
        <w:t>Las entidades locales no podrán condonar total ni parcialmente las indemnizaciones y reintegros a que se refiere este apartado.</w:t>
      </w:r>
    </w:p>
    <w:p w:rsidR="002F7066" w:rsidRDefault="002F7066" w:rsidP="002F7066">
      <w:pPr>
        <w:pStyle w:val="NormalWeb"/>
        <w:rPr>
          <w:rFonts w:cs="Open Sans"/>
          <w:color w:val="4E4E4E"/>
        </w:rPr>
      </w:pPr>
      <w:r>
        <w:rPr>
          <w:rFonts w:cs="Open Sans"/>
          <w:color w:val="4E4E4E"/>
        </w:rPr>
        <w:t>Art. 9</w:t>
      </w:r>
      <w:proofErr w:type="gramStart"/>
      <w:r>
        <w:rPr>
          <w:rFonts w:cs="Open Sans"/>
          <w:color w:val="4E4E4E"/>
        </w:rPr>
        <w:t>.º</w:t>
      </w:r>
      <w:proofErr w:type="gramEnd"/>
      <w:r>
        <w:rPr>
          <w:rFonts w:cs="Open Sans"/>
          <w:color w:val="4E4E4E"/>
        </w:rPr>
        <w:t xml:space="preserve"> </w:t>
      </w:r>
      <w:r>
        <w:rPr>
          <w:rStyle w:val="nfasis"/>
          <w:rFonts w:cs="Open Sans"/>
          <w:color w:val="4E4E4E"/>
        </w:rPr>
        <w:t>Gestión.</w:t>
      </w:r>
    </w:p>
    <w:p w:rsidR="002F7066" w:rsidRDefault="002F7066" w:rsidP="002F7066">
      <w:pPr>
        <w:pStyle w:val="NormalWeb"/>
        <w:rPr>
          <w:rFonts w:cs="Open Sans"/>
          <w:color w:val="4E4E4E"/>
        </w:rPr>
      </w:pPr>
      <w:r>
        <w:rPr>
          <w:rFonts w:cs="Open Sans"/>
          <w:color w:val="4E4E4E"/>
        </w:rPr>
        <w:t>La gestión, liquidación, inspección y recaudación de esta tasa se realizará según lo dispuesto en la Ley 58/2003, de 17 de diciembre, General Tributaria, y en las demás Leyes reguladoras de la materia, así como en las disposiciones dictadas para su desarrollo.</w:t>
      </w:r>
    </w:p>
    <w:p w:rsidR="002F7066" w:rsidRDefault="002F7066" w:rsidP="002F7066">
      <w:pPr>
        <w:pStyle w:val="NormalWeb"/>
        <w:rPr>
          <w:rFonts w:cs="Open Sans"/>
          <w:color w:val="4E4E4E"/>
        </w:rPr>
      </w:pPr>
      <w:r>
        <w:rPr>
          <w:rFonts w:cs="Open Sans"/>
          <w:color w:val="4E4E4E"/>
        </w:rPr>
        <w:t>Las cantidades exigibles con arreglo a las tarifas se liquidarán por cada aprovechamiento solicitado o realizado.</w:t>
      </w:r>
    </w:p>
    <w:p w:rsidR="002F7066" w:rsidRDefault="002F7066" w:rsidP="002F7066">
      <w:pPr>
        <w:pStyle w:val="NormalWeb"/>
        <w:rPr>
          <w:rFonts w:cs="Open Sans"/>
          <w:color w:val="4E4E4E"/>
        </w:rPr>
      </w:pPr>
      <w:r>
        <w:rPr>
          <w:rFonts w:cs="Open Sans"/>
          <w:color w:val="4E4E4E"/>
        </w:rPr>
        <w:t>Las personas o entidades interesadas en la concesión de aprovechamientos regulados en esta Ordenanza deberán solicitar la correspondiente licencia y realizar el correspondiente depósito previo.</w:t>
      </w:r>
    </w:p>
    <w:p w:rsidR="002F7066" w:rsidRDefault="002F7066" w:rsidP="002F7066">
      <w:pPr>
        <w:pStyle w:val="NormalWeb"/>
        <w:rPr>
          <w:rFonts w:cs="Open Sans"/>
          <w:color w:val="4E4E4E"/>
        </w:rPr>
      </w:pPr>
      <w:r>
        <w:rPr>
          <w:rFonts w:cs="Open Sans"/>
          <w:color w:val="4E4E4E"/>
        </w:rPr>
        <w:t>Una vez autorizada la ocupación, si no se determinó la duración del aprovechamiento, se entenderá prorrogada hasta que se presente la declaración la declaración de baja por los interesados (la no presentación del la baja determinará la obligación de continuar abonando la tasa).</w:t>
      </w:r>
    </w:p>
    <w:p w:rsidR="002F7066" w:rsidRDefault="002F7066" w:rsidP="002F7066">
      <w:pPr>
        <w:pStyle w:val="NormalWeb"/>
        <w:rPr>
          <w:rFonts w:cs="Open Sans"/>
          <w:color w:val="4E4E4E"/>
        </w:rPr>
      </w:pPr>
      <w:r>
        <w:rPr>
          <w:rFonts w:cs="Open Sans"/>
          <w:color w:val="4E4E4E"/>
        </w:rPr>
        <w:t xml:space="preserve">Art. 10. </w:t>
      </w:r>
      <w:r>
        <w:rPr>
          <w:rStyle w:val="nfasis"/>
          <w:rFonts w:cs="Open Sans"/>
          <w:color w:val="4E4E4E"/>
        </w:rPr>
        <w:t>Recaudación.</w:t>
      </w:r>
    </w:p>
    <w:p w:rsidR="002F7066" w:rsidRDefault="002F7066" w:rsidP="002F7066">
      <w:pPr>
        <w:pStyle w:val="NormalWeb"/>
        <w:rPr>
          <w:rFonts w:cs="Open Sans"/>
          <w:color w:val="4E4E4E"/>
        </w:rPr>
      </w:pPr>
      <w:r>
        <w:rPr>
          <w:rFonts w:cs="Open Sans"/>
          <w:color w:val="4E4E4E"/>
        </w:rPr>
        <w:t>Los sujetos pasivos de la tasa estarán obligados a practicar operaciones de autoliquidación tributaria y a realizar el ingreso de su importe en el Tesoro.</w:t>
      </w:r>
    </w:p>
    <w:p w:rsidR="002F7066" w:rsidRDefault="002F7066" w:rsidP="002F7066">
      <w:pPr>
        <w:pStyle w:val="NormalWeb"/>
        <w:rPr>
          <w:rFonts w:cs="Open Sans"/>
          <w:color w:val="4E4E4E"/>
        </w:rPr>
      </w:pPr>
      <w:r>
        <w:rPr>
          <w:rFonts w:cs="Open Sans"/>
          <w:color w:val="4E4E4E"/>
        </w:rPr>
        <w:t>El pago de la tasa podrá hacerse efectivo en las oficinas municipales o a través de transferencia bancaria.</w:t>
      </w:r>
    </w:p>
    <w:p w:rsidR="002F7066" w:rsidRDefault="002F7066" w:rsidP="002F7066">
      <w:pPr>
        <w:pStyle w:val="NormalWeb"/>
        <w:rPr>
          <w:rFonts w:cs="Open Sans"/>
          <w:color w:val="4E4E4E"/>
        </w:rPr>
      </w:pPr>
      <w:r>
        <w:rPr>
          <w:rFonts w:cs="Open Sans"/>
          <w:color w:val="4E4E4E"/>
        </w:rPr>
        <w:t xml:space="preserve">Art. 11. </w:t>
      </w:r>
      <w:r>
        <w:rPr>
          <w:rStyle w:val="nfasis"/>
          <w:rFonts w:cs="Open Sans"/>
          <w:color w:val="4E4E4E"/>
        </w:rPr>
        <w:t>Infracciones y sanciones tributarias.</w:t>
      </w:r>
    </w:p>
    <w:p w:rsidR="002F7066" w:rsidRDefault="002F7066" w:rsidP="002F7066">
      <w:pPr>
        <w:pStyle w:val="NormalWeb"/>
        <w:rPr>
          <w:rFonts w:cs="Open Sans"/>
          <w:color w:val="4E4E4E"/>
        </w:rPr>
      </w:pPr>
      <w:r>
        <w:rPr>
          <w:rFonts w:cs="Open Sans"/>
          <w:color w:val="4E4E4E"/>
        </w:rPr>
        <w:t>En todo lo referente a infracciones y sanciones, será de aplicación la Ley 58/2003, de 17 de diciembre, General Tributaria, en concreto los artículos 181 y siguientes, así como sus disposiciones de desarrollo, según lo dispuesto en el artículo 11 del Real Decreto legislativo 2/2004, de 5 de marzo, por el que se aprueba el Texto Refundido de la Ley Reguladora de las Haciendas Locales.</w:t>
      </w:r>
    </w:p>
    <w:p w:rsidR="002F7066" w:rsidRDefault="002F7066" w:rsidP="002F7066">
      <w:pPr>
        <w:pStyle w:val="NormalWeb"/>
        <w:rPr>
          <w:rFonts w:cs="Open Sans"/>
          <w:color w:val="4E4E4E"/>
        </w:rPr>
      </w:pPr>
      <w:r>
        <w:rPr>
          <w:rFonts w:cs="Open Sans"/>
          <w:color w:val="4E4E4E"/>
        </w:rPr>
        <w:t>Disposición final</w:t>
      </w:r>
    </w:p>
    <w:p w:rsidR="002F7066" w:rsidRDefault="002F7066" w:rsidP="002F7066">
      <w:pPr>
        <w:pStyle w:val="NormalWeb"/>
        <w:rPr>
          <w:rFonts w:cs="Open Sans"/>
          <w:color w:val="4E4E4E"/>
        </w:rPr>
      </w:pPr>
      <w:r>
        <w:rPr>
          <w:rFonts w:cs="Open Sans"/>
          <w:color w:val="4E4E4E"/>
        </w:rPr>
        <w:t>La presente Ordenanza fiscal, que fue aprobada por el Pleno de este Ayuntamiento en sesión celebrada el día 30 de mayo de 2016, entrará en vigor el mismo día de su publicación en el BOPZ, y será de aplicación a partir de ese mismo día, permaneciendo en dicha situación hasta en tanto no se acuerde su modificación o su derogación expresa.</w:t>
      </w:r>
    </w:p>
    <w:p w:rsidR="002F7066" w:rsidRDefault="002F7066" w:rsidP="002F7066">
      <w:pPr>
        <w:pStyle w:val="NormalWeb"/>
        <w:rPr>
          <w:rFonts w:cs="Open Sans"/>
          <w:color w:val="4E4E4E"/>
        </w:rPr>
      </w:pPr>
      <w:r>
        <w:rPr>
          <w:rFonts w:cs="Open Sans"/>
          <w:color w:val="4E4E4E"/>
        </w:rPr>
        <w:t> </w:t>
      </w:r>
    </w:p>
    <w:p w:rsidR="002F7066" w:rsidRDefault="002F7066"/>
    <w:sectPr w:rsidR="002F7066" w:rsidSect="004679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DisplayPageBoundaries/>
  <w:proofState w:spelling="clean" w:grammar="clean"/>
  <w:defaultTabStop w:val="708"/>
  <w:hyphenationZone w:val="425"/>
  <w:characterSpacingControl w:val="doNotCompress"/>
  <w:compat/>
  <w:rsids>
    <w:rsidRoot w:val="002F7066"/>
    <w:rsid w:val="002F7066"/>
    <w:rsid w:val="00467901"/>
    <w:rsid w:val="00476C76"/>
    <w:rsid w:val="00985D71"/>
    <w:rsid w:val="00AA6EA2"/>
    <w:rsid w:val="00AE0347"/>
    <w:rsid w:val="00AE0BC1"/>
    <w:rsid w:val="00B40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F7066"/>
    <w:rPr>
      <w:i/>
      <w:iCs/>
    </w:rPr>
  </w:style>
  <w:style w:type="character" w:styleId="Textoennegrita">
    <w:name w:val="Strong"/>
    <w:basedOn w:val="Fuentedeprrafopredeter"/>
    <w:uiPriority w:val="22"/>
    <w:qFormat/>
    <w:rsid w:val="002F7066"/>
    <w:rPr>
      <w:b/>
      <w:bCs/>
    </w:rPr>
  </w:style>
  <w:style w:type="paragraph" w:styleId="NormalWeb">
    <w:name w:val="Normal (Web)"/>
    <w:basedOn w:val="Normal"/>
    <w:uiPriority w:val="99"/>
    <w:semiHidden/>
    <w:unhideWhenUsed/>
    <w:rsid w:val="002F7066"/>
    <w:pPr>
      <w:ind w:right="0"/>
      <w:jc w:val="left"/>
    </w:pPr>
    <w:rPr>
      <w:rFonts w:ascii="inherit" w:eastAsia="Times New Roman" w:hAnsi="inherit" w:cs="Times New Roman"/>
      <w:sz w:val="24"/>
      <w:szCs w:val="24"/>
      <w:lang w:eastAsia="es-ES"/>
    </w:rPr>
  </w:style>
  <w:style w:type="character" w:customStyle="1" w:styleId="apple-converted-space">
    <w:name w:val="apple-converted-space"/>
    <w:basedOn w:val="Fuentedeprrafopredeter"/>
    <w:rsid w:val="002F7066"/>
  </w:style>
</w:styles>
</file>

<file path=word/webSettings.xml><?xml version="1.0" encoding="utf-8"?>
<w:webSettings xmlns:r="http://schemas.openxmlformats.org/officeDocument/2006/relationships" xmlns:w="http://schemas.openxmlformats.org/wordprocessingml/2006/main">
  <w:divs>
    <w:div w:id="988873360">
      <w:bodyDiv w:val="1"/>
      <w:marLeft w:val="0"/>
      <w:marRight w:val="0"/>
      <w:marTop w:val="0"/>
      <w:marBottom w:val="0"/>
      <w:divBdr>
        <w:top w:val="none" w:sz="0" w:space="0" w:color="auto"/>
        <w:left w:val="none" w:sz="0" w:space="0" w:color="auto"/>
        <w:bottom w:val="none" w:sz="0" w:space="0" w:color="auto"/>
        <w:right w:val="none" w:sz="0" w:space="0" w:color="auto"/>
      </w:divBdr>
    </w:div>
    <w:div w:id="1884515308">
      <w:bodyDiv w:val="1"/>
      <w:marLeft w:val="0"/>
      <w:marRight w:val="0"/>
      <w:marTop w:val="0"/>
      <w:marBottom w:val="0"/>
      <w:divBdr>
        <w:top w:val="none" w:sz="0" w:space="0" w:color="auto"/>
        <w:left w:val="none" w:sz="0" w:space="0" w:color="auto"/>
        <w:bottom w:val="none" w:sz="0" w:space="0" w:color="auto"/>
        <w:right w:val="none" w:sz="0" w:space="0" w:color="auto"/>
      </w:divBdr>
      <w:divsChild>
        <w:div w:id="1603105279">
          <w:marLeft w:val="0"/>
          <w:marRight w:val="0"/>
          <w:marTop w:val="0"/>
          <w:marBottom w:val="0"/>
          <w:divBdr>
            <w:top w:val="none" w:sz="0" w:space="0" w:color="auto"/>
            <w:left w:val="none" w:sz="0" w:space="0" w:color="auto"/>
            <w:bottom w:val="none" w:sz="0" w:space="0" w:color="auto"/>
            <w:right w:val="none" w:sz="0" w:space="0" w:color="auto"/>
          </w:divBdr>
          <w:divsChild>
            <w:div w:id="13566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1018</Words>
  <Characters>5600</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
  <cp:revision>1</cp:revision>
  <dcterms:created xsi:type="dcterms:W3CDTF">2017-05-17T12:06:00Z</dcterms:created>
</cp:coreProperties>
</file>